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27"/>
      </w:tblGrid>
      <w:tr w:rsidR="008A29BA" w:rsidTr="00363DAC">
        <w:tc>
          <w:tcPr>
            <w:tcW w:w="4537" w:type="dxa"/>
          </w:tcPr>
          <w:p w:rsidR="008A29BA" w:rsidRDefault="008A29BA" w:rsidP="00F74259">
            <w:pPr>
              <w:jc w:val="center"/>
              <w:rPr>
                <w:b/>
              </w:rPr>
            </w:pPr>
            <w:r w:rsidRPr="0023675F">
              <w:rPr>
                <w:b/>
              </w:rPr>
              <w:t>BCH ĐOÀN TỈNH HÀ TĨNH</w:t>
            </w:r>
          </w:p>
          <w:p w:rsidR="0023675F" w:rsidRDefault="0023675F" w:rsidP="00F74259">
            <w:pPr>
              <w:jc w:val="center"/>
            </w:pPr>
            <w:r>
              <w:t>***</w:t>
            </w:r>
          </w:p>
          <w:p w:rsidR="0023675F" w:rsidRDefault="0023675F" w:rsidP="00F74259">
            <w:pPr>
              <w:jc w:val="center"/>
            </w:pPr>
            <w:r>
              <w:t>Số         -CV/TĐTN-BTG</w:t>
            </w:r>
          </w:p>
          <w:p w:rsidR="0023675F" w:rsidRDefault="0023675F" w:rsidP="00F74259">
            <w:pPr>
              <w:jc w:val="center"/>
              <w:rPr>
                <w:i/>
                <w:sz w:val="24"/>
                <w:szCs w:val="24"/>
              </w:rPr>
            </w:pPr>
            <w:r w:rsidRPr="0023675F">
              <w:rPr>
                <w:i/>
                <w:sz w:val="24"/>
                <w:szCs w:val="24"/>
              </w:rPr>
              <w:t xml:space="preserve">“V/v sửa đổi, bổ sung một số nội dung </w:t>
            </w:r>
          </w:p>
          <w:p w:rsidR="00F74259" w:rsidRDefault="0023675F" w:rsidP="00F74259">
            <w:pPr>
              <w:jc w:val="center"/>
              <w:rPr>
                <w:i/>
                <w:sz w:val="24"/>
                <w:szCs w:val="24"/>
              </w:rPr>
            </w:pPr>
            <w:r w:rsidRPr="0023675F">
              <w:rPr>
                <w:i/>
                <w:sz w:val="24"/>
                <w:szCs w:val="24"/>
              </w:rPr>
              <w:t xml:space="preserve">của Quyết định số 31/2012/QĐ-UBND </w:t>
            </w:r>
          </w:p>
          <w:p w:rsidR="0023675F" w:rsidRPr="0023675F" w:rsidRDefault="0023675F" w:rsidP="00F74259">
            <w:pPr>
              <w:jc w:val="center"/>
              <w:rPr>
                <w:i/>
                <w:sz w:val="24"/>
                <w:szCs w:val="24"/>
              </w:rPr>
            </w:pPr>
            <w:r w:rsidRPr="0023675F">
              <w:rPr>
                <w:i/>
                <w:sz w:val="24"/>
                <w:szCs w:val="24"/>
              </w:rPr>
              <w:t>ngày 06/7/2012 của UBND tỉnh”</w:t>
            </w:r>
          </w:p>
        </w:tc>
        <w:tc>
          <w:tcPr>
            <w:tcW w:w="4927" w:type="dxa"/>
          </w:tcPr>
          <w:p w:rsidR="008A29BA" w:rsidRPr="0023675F" w:rsidRDefault="008A29BA" w:rsidP="0023675F">
            <w:pPr>
              <w:ind w:firstLine="567"/>
              <w:jc w:val="center"/>
              <w:rPr>
                <w:b/>
                <w:sz w:val="30"/>
                <w:szCs w:val="30"/>
                <w:u w:val="single"/>
              </w:rPr>
            </w:pPr>
            <w:r w:rsidRPr="0023675F">
              <w:rPr>
                <w:b/>
                <w:sz w:val="30"/>
                <w:szCs w:val="30"/>
                <w:u w:val="single"/>
              </w:rPr>
              <w:t>ĐOÀN TNCS HỒ CHÍ MINH</w:t>
            </w:r>
          </w:p>
          <w:p w:rsidR="008A29BA" w:rsidRDefault="008A29BA" w:rsidP="0023675F">
            <w:pPr>
              <w:ind w:firstLine="567"/>
              <w:jc w:val="center"/>
              <w:rPr>
                <w:b/>
              </w:rPr>
            </w:pPr>
          </w:p>
          <w:p w:rsidR="0023675F" w:rsidRPr="0023675F" w:rsidRDefault="0023675F" w:rsidP="00F74259">
            <w:pPr>
              <w:ind w:firstLine="567"/>
              <w:jc w:val="center"/>
              <w:rPr>
                <w:i/>
                <w:sz w:val="26"/>
                <w:szCs w:val="26"/>
              </w:rPr>
            </w:pPr>
            <w:r w:rsidRPr="0023675F">
              <w:rPr>
                <w:i/>
                <w:sz w:val="26"/>
                <w:szCs w:val="26"/>
              </w:rPr>
              <w:t xml:space="preserve">Hà Tĩnh, ngày    tháng </w:t>
            </w:r>
            <w:r w:rsidR="00F74259">
              <w:rPr>
                <w:i/>
                <w:sz w:val="26"/>
                <w:szCs w:val="26"/>
              </w:rPr>
              <w:t>5</w:t>
            </w:r>
            <w:r w:rsidRPr="0023675F">
              <w:rPr>
                <w:i/>
                <w:sz w:val="26"/>
                <w:szCs w:val="26"/>
              </w:rPr>
              <w:t xml:space="preserve"> năm 2019</w:t>
            </w:r>
          </w:p>
        </w:tc>
      </w:tr>
    </w:tbl>
    <w:p w:rsidR="00B932D5" w:rsidRDefault="00B932D5" w:rsidP="0023675F">
      <w:pPr>
        <w:spacing w:after="0" w:line="240" w:lineRule="auto"/>
        <w:ind w:firstLine="567"/>
      </w:pPr>
    </w:p>
    <w:p w:rsidR="002D3A4A" w:rsidRPr="00FA2CF3" w:rsidRDefault="002D3A4A" w:rsidP="00F74259">
      <w:pPr>
        <w:spacing w:after="0" w:line="240" w:lineRule="auto"/>
        <w:rPr>
          <w:b/>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654"/>
      </w:tblGrid>
      <w:tr w:rsidR="002D3A4A" w:rsidTr="002D3A4A">
        <w:trPr>
          <w:trHeight w:val="1100"/>
        </w:trPr>
        <w:tc>
          <w:tcPr>
            <w:tcW w:w="2093" w:type="dxa"/>
          </w:tcPr>
          <w:p w:rsidR="002D3A4A" w:rsidRDefault="002D3A4A" w:rsidP="002D3A4A">
            <w:pPr>
              <w:jc w:val="right"/>
              <w:rPr>
                <w:b/>
              </w:rPr>
            </w:pPr>
            <w:r w:rsidRPr="00F74259">
              <w:rPr>
                <w:b/>
              </w:rPr>
              <w:t>Kính gửi:</w:t>
            </w:r>
          </w:p>
        </w:tc>
        <w:tc>
          <w:tcPr>
            <w:tcW w:w="7654" w:type="dxa"/>
          </w:tcPr>
          <w:p w:rsidR="002D3A4A" w:rsidRPr="00FA2CF3" w:rsidRDefault="002D3A4A" w:rsidP="002D3A4A">
            <w:pPr>
              <w:jc w:val="both"/>
              <w:rPr>
                <w:b/>
              </w:rPr>
            </w:pPr>
            <w:r w:rsidRPr="00F74259">
              <w:rPr>
                <w:b/>
              </w:rPr>
              <w:t>- Ban Thường vụ các huyện, thị, thành Đoàn, Đoàn trực thuộc</w:t>
            </w:r>
          </w:p>
          <w:p w:rsidR="002D3A4A" w:rsidRPr="00FA2CF3" w:rsidRDefault="002D3A4A" w:rsidP="002D3A4A">
            <w:pPr>
              <w:jc w:val="both"/>
              <w:rPr>
                <w:b/>
              </w:rPr>
            </w:pPr>
            <w:r w:rsidRPr="00F74259">
              <w:rPr>
                <w:b/>
              </w:rPr>
              <w:t>- Các đơn vị cấp II Tỉnh đoàn</w:t>
            </w:r>
          </w:p>
          <w:p w:rsidR="002D3A4A" w:rsidRDefault="002D3A4A" w:rsidP="002D3A4A">
            <w:pPr>
              <w:ind w:firstLine="567"/>
              <w:jc w:val="both"/>
            </w:pPr>
          </w:p>
          <w:p w:rsidR="002D3A4A" w:rsidRDefault="002D3A4A" w:rsidP="00F74259">
            <w:pPr>
              <w:rPr>
                <w:b/>
              </w:rPr>
            </w:pPr>
          </w:p>
        </w:tc>
      </w:tr>
    </w:tbl>
    <w:p w:rsidR="0023675F" w:rsidRDefault="0023675F" w:rsidP="00B373E7">
      <w:pPr>
        <w:spacing w:after="0" w:line="240" w:lineRule="auto"/>
        <w:ind w:firstLine="567"/>
        <w:jc w:val="both"/>
      </w:pPr>
      <w:r>
        <w:t xml:space="preserve">Căn cứ Quyết định số 23/2019/QĐ-UBND, ngày 07/5/2019 của Ủy ban Nhân dân tỉnh về </w:t>
      </w:r>
      <w:r w:rsidR="002D3A4A">
        <w:t>sửa đổi, bổ sung</w:t>
      </w:r>
      <w:r w:rsidR="002D3A4A" w:rsidRPr="00FA2CF3">
        <w:t xml:space="preserve"> </w:t>
      </w:r>
      <w:r w:rsidR="00F74259">
        <w:t>một số nội dung của Qu</w:t>
      </w:r>
      <w:r w:rsidR="00FF05E7">
        <w:t>yết định số 31/2012/QĐ-UBND ngày</w:t>
      </w:r>
      <w:r w:rsidR="00F74259">
        <w:t xml:space="preserve"> 06/7/2012 của ỦBND tỉnh về việc ban hành quy chế về thực hiện nếp sống văn minh trong việc cưới, việc tang, lễ hội và tổ chức kỷ niệm ngày truyền thống, đón nhận danh hiệu thi đua trên địa bàn tỉnh</w:t>
      </w:r>
      <w:r w:rsidR="00363DAC">
        <w:t xml:space="preserve"> (</w:t>
      </w:r>
      <w:r w:rsidR="00D82CBA" w:rsidRPr="00FA2CF3">
        <w:t>g</w:t>
      </w:r>
      <w:r w:rsidR="00363DAC">
        <w:t>ọi tắt là</w:t>
      </w:r>
      <w:r w:rsidR="002D3A4A" w:rsidRPr="00FA2CF3">
        <w:t xml:space="preserve"> </w:t>
      </w:r>
      <w:r w:rsidR="00363DAC">
        <w:t>Quyết định số 23/2019/QĐ-UBND</w:t>
      </w:r>
      <w:r w:rsidR="00363DAC" w:rsidRPr="00363DAC">
        <w:t xml:space="preserve">); </w:t>
      </w:r>
      <w:r w:rsidR="00F74259">
        <w:t xml:space="preserve">Ban Thường vụ Tỉnh đoàn đề nghị Ban Thường vụ các huyện, thị, thành Đoàn, Đoàn trực thuộc, các đơn vị cấp II Tỉnh đoàn </w:t>
      </w:r>
      <w:r w:rsidR="00FF05E7">
        <w:t xml:space="preserve">quan tâm, </w:t>
      </w:r>
      <w:r w:rsidR="00F74259">
        <w:t xml:space="preserve">triển khai thực hiện một số nội dung </w:t>
      </w:r>
      <w:r w:rsidR="00FF05E7">
        <w:t>sau đây</w:t>
      </w:r>
      <w:r w:rsidR="00F74259">
        <w:t>:</w:t>
      </w:r>
    </w:p>
    <w:p w:rsidR="00F74259" w:rsidRDefault="00F74259" w:rsidP="00B373E7">
      <w:pPr>
        <w:spacing w:after="0" w:line="240" w:lineRule="auto"/>
        <w:ind w:firstLine="567"/>
        <w:jc w:val="both"/>
      </w:pPr>
      <w:r>
        <w:t>- Tiếp tục triển khai thực</w:t>
      </w:r>
      <w:r w:rsidR="00B373E7">
        <w:t xml:space="preserve"> hiện</w:t>
      </w:r>
      <w:r w:rsidR="002054C9">
        <w:t xml:space="preserve"> </w:t>
      </w:r>
      <w:r w:rsidR="00B373E7">
        <w:t xml:space="preserve">Quyết định số 31/2012/QĐ-UBND ngày 06/7/2012 của </w:t>
      </w:r>
      <w:r w:rsidR="002054C9">
        <w:t>U</w:t>
      </w:r>
      <w:r w:rsidR="00B373E7">
        <w:t>BND tỉnh về việc ban hành quy chế về thực hiện nếp sống văn minh trong việc cưới, việc tang, lễ hội</w:t>
      </w:r>
      <w:r w:rsidR="00363DAC" w:rsidRPr="00363DAC">
        <w:t>,</w:t>
      </w:r>
      <w:r w:rsidR="00B373E7">
        <w:t xml:space="preserve"> tổ chức kỷ niệm ngày truyền thống, đón nhận danh hiệu thi đua trên địa bàn tỉnh và </w:t>
      </w:r>
      <w:r>
        <w:t xml:space="preserve">Kế hoạch số 328 KH/TĐTN-BTG, ngày 30/3/2017 về triển khai Cuộc vận động </w:t>
      </w:r>
      <w:r w:rsidRPr="00FA2CF3">
        <w:rPr>
          <w:i/>
        </w:rPr>
        <w:t>"</w:t>
      </w:r>
      <w:r w:rsidRPr="00DB2E0D">
        <w:rPr>
          <w:i/>
        </w:rPr>
        <w:t xml:space="preserve">Cưới văn minh, tiết kiệm” </w:t>
      </w:r>
      <w:r>
        <w:t xml:space="preserve">trong cán bộ Đoàn, đoàn viên, thanh niên tỉnh Hà Tĩnh giai đoạn 2017 </w:t>
      </w:r>
      <w:r w:rsidR="00B373E7">
        <w:t>-</w:t>
      </w:r>
      <w:r>
        <w:t xml:space="preserve"> 2022;</w:t>
      </w:r>
      <w:r w:rsidR="00B373E7">
        <w:t xml:space="preserve"> tuy nhiên,</w:t>
      </w:r>
      <w:r w:rsidR="002054C9">
        <w:t xml:space="preserve"> </w:t>
      </w:r>
      <w:r w:rsidR="00B373E7">
        <w:t xml:space="preserve">điều chỉnh một số nội dung theo Quyết định số 23/2019/QĐ-UBND, </w:t>
      </w:r>
      <w:r w:rsidR="00FF05E7">
        <w:t>cụ thể như sau:</w:t>
      </w:r>
    </w:p>
    <w:p w:rsidR="00FF05E7" w:rsidRDefault="00FF05E7" w:rsidP="00B373E7">
      <w:pPr>
        <w:spacing w:after="0" w:line="240" w:lineRule="auto"/>
        <w:ind w:firstLine="567"/>
        <w:jc w:val="both"/>
      </w:pPr>
      <w:r>
        <w:t>+ Khuyến khích tổ chức lễ cưới không quá 01 ngày;</w:t>
      </w:r>
    </w:p>
    <w:p w:rsidR="00FF05E7" w:rsidRDefault="00FF05E7" w:rsidP="00B373E7">
      <w:pPr>
        <w:spacing w:after="0" w:line="240" w:lineRule="auto"/>
        <w:ind w:firstLine="567"/>
        <w:jc w:val="both"/>
      </w:pPr>
      <w:r>
        <w:t>+ Cán bộ, công chức, viên chức không được sử dụng thời gian làm việc và phương tiện của cơ quan đi đám cưới; không sử dụng công quỹ của cơ quan làm quà mừng, quà tặng trong đám cưới theo quy định tại Khoản 5 Điều 2 Thông tư 04/2011/TT-BVHTTDL ngày 21/01/2011 của Bộ Văn hóa, Thể thao và Du lịch (trừ trường hợp cơ quan có quy định tặng quà theo quy chế chi tiêu nội bộ);</w:t>
      </w:r>
    </w:p>
    <w:p w:rsidR="00FF05E7" w:rsidRDefault="00FF05E7" w:rsidP="00B373E7">
      <w:pPr>
        <w:spacing w:after="0" w:line="240" w:lineRule="auto"/>
        <w:ind w:firstLine="567"/>
        <w:jc w:val="both"/>
      </w:pPr>
      <w:r>
        <w:t>+ Khuyến khích không soạn cỗ mời khách trong thời gian tổ chức tang lễ và các ngày tuần tiết; không thực hiện các hoạt động mê tín dị đoan theo quy định tại Khoản 1 Điều 2 Quyết định số 308/20058/QĐ-TT</w:t>
      </w:r>
      <w:r w:rsidR="009A36D0">
        <w:t>g ngày 24/11/2005 của Thủ tướng Chính phủ;</w:t>
      </w:r>
    </w:p>
    <w:p w:rsidR="009A36D0" w:rsidRDefault="009A36D0" w:rsidP="00B373E7">
      <w:pPr>
        <w:spacing w:after="0" w:line="240" w:lineRule="auto"/>
        <w:ind w:firstLine="567"/>
        <w:jc w:val="both"/>
      </w:pPr>
      <w:r>
        <w:t>+ Hạn chế tối đa việc rải vàng mã,</w:t>
      </w:r>
      <w:r w:rsidR="002054C9">
        <w:t xml:space="preserve"> tiền âm phủ trên đường; không r</w:t>
      </w:r>
      <w:r w:rsidR="004D1138">
        <w:t>ả</w:t>
      </w:r>
      <w:r w:rsidR="002054C9">
        <w:t>i</w:t>
      </w:r>
      <w:r>
        <w:t xml:space="preserve"> tiền theo quy định tại Điều 6 Quyết định số 308/20058/QĐ-TTg ngày 24/11/2005 của Thủ tướng Chính phủ;</w:t>
      </w:r>
    </w:p>
    <w:p w:rsidR="009A36D0" w:rsidRDefault="009A36D0" w:rsidP="00B373E7">
      <w:pPr>
        <w:spacing w:after="0" w:line="240" w:lineRule="auto"/>
        <w:ind w:firstLine="567"/>
        <w:jc w:val="both"/>
      </w:pPr>
      <w:r>
        <w:t>+ Đối với cán bộ, công chức, viên chứ</w:t>
      </w:r>
      <w:r w:rsidR="00D82CBA" w:rsidRPr="00FA2CF3">
        <w:t>c</w:t>
      </w:r>
      <w:r>
        <w:t xml:space="preserve"> nhà nước từ trần thực hiện theo Nghị định số 105/2012/NĐ-CP ngày 17/12/2012 của Chính phủ về việc ban hành Quy chế tổ chức lễ tang đối với cán bộ, công chức, viên chức nhà nước khi từ trần;</w:t>
      </w:r>
    </w:p>
    <w:p w:rsidR="009A36D0" w:rsidRDefault="009A36D0" w:rsidP="00B373E7">
      <w:pPr>
        <w:spacing w:after="0" w:line="240" w:lineRule="auto"/>
        <w:ind w:firstLine="567"/>
        <w:jc w:val="both"/>
      </w:pPr>
      <w:r>
        <w:lastRenderedPageBreak/>
        <w:t xml:space="preserve">+ Tại các di tích lịch sử, văn hóa phải có sơ đồ hướng dẫn về giao thông, các điểm hành lễ, thờ tự, nơi đặt lễ, dâng hương; có biển giới thiệu tóm tắt về lịch sử, giá trị </w:t>
      </w:r>
      <w:r w:rsidR="00832F0B">
        <w:t>tinh thần, tôn giáo, tín ngưỡng; c</w:t>
      </w:r>
      <w:r>
        <w:t>ó quy định đối v</w:t>
      </w:r>
      <w:r w:rsidR="00A439B7">
        <w:t>ới khách đến tham quan, hành lễ; t</w:t>
      </w:r>
      <w:r>
        <w:t>hắp hương, đốt vàng mã đúng quy định</w:t>
      </w:r>
      <w:r w:rsidR="00A439B7">
        <w:t>; k</w:t>
      </w:r>
      <w:r>
        <w:t>hông tổ chức và tham gia các hoạt động theo quy định tại điểm d khoản 2 Điều 6 Nghị định số 110/2018/NĐ-CP ngày 29/8/2018 của Chính phủ quy định về quản lý và tổ chức lễ hội;</w:t>
      </w:r>
    </w:p>
    <w:p w:rsidR="009A36D0" w:rsidRDefault="009A36D0" w:rsidP="00B373E7">
      <w:pPr>
        <w:spacing w:after="0" w:line="240" w:lineRule="auto"/>
        <w:ind w:firstLine="567"/>
        <w:jc w:val="both"/>
      </w:pPr>
      <w:r>
        <w:t>+ Việc tổ chức quyên góp nguồn công đức thực hiện theo quy định tại Điều 19, 20 Nghị định số 162/2017/NĐ-CP ngày 301/12/2017 của Chính phủ quy định chi tiết một số điều và biện pháp th</w:t>
      </w:r>
      <w:r w:rsidR="00D82CBA">
        <w:t>i hành Luật tín ngưỡng tôn giáo</w:t>
      </w:r>
      <w:r>
        <w:t>.</w:t>
      </w:r>
    </w:p>
    <w:p w:rsidR="00B373E7" w:rsidRDefault="00B373E7" w:rsidP="00B373E7">
      <w:pPr>
        <w:spacing w:after="0" w:line="240" w:lineRule="auto"/>
        <w:ind w:firstLine="567"/>
        <w:jc w:val="both"/>
      </w:pPr>
      <w:r w:rsidRPr="00B373E7">
        <w:rPr>
          <w:b/>
        </w:rPr>
        <w:t>* Lưu ý:</w:t>
      </w:r>
      <w:r>
        <w:t xml:space="preserve"> Quyết định số 23/2019/QĐ-UBND, ngày 07/5/2019 của Ủy ban Nhân dân tỉnh có hiệu lực kể từ ngày 18/5/2019; đồng thời  bãi bỏ Quyết định số 05/2013/QĐ-UBND ngày 22/01/2013 của UBND tỉnh về sửa đổi, bổ sung một số nội dung của Quyết định số 31/2012/QĐ-UBND ngày 06/7/2012 của UBND tỉnh Hà Tĩnh và điểm d khoản 8 Điều 4 Quyết định số 31//2012/QĐ-UBND ngày 06/7/2012.</w:t>
      </w:r>
    </w:p>
    <w:p w:rsidR="00F74259" w:rsidRPr="00FA2CF3" w:rsidRDefault="00B373E7" w:rsidP="00B373E7">
      <w:pPr>
        <w:spacing w:after="0" w:line="240" w:lineRule="auto"/>
        <w:ind w:firstLine="567"/>
        <w:jc w:val="both"/>
      </w:pPr>
      <w:r>
        <w:t>Ban Thường vụ Tỉnh đoàn đề nghị Ban Thường vụ các huyện, thị, thành Đoàn, Đoàn trực thuộc</w:t>
      </w:r>
      <w:r w:rsidR="00363DAC" w:rsidRPr="00363DAC">
        <w:t>, các đơn vị cấp II Tỉnh đoàn</w:t>
      </w:r>
      <w:r w:rsidR="00D4372C" w:rsidRPr="00FA2CF3">
        <w:t xml:space="preserve"> </w:t>
      </w:r>
      <w:r w:rsidR="00F74259">
        <w:t xml:space="preserve">thông báo, </w:t>
      </w:r>
      <w:bookmarkStart w:id="0" w:name="_GoBack"/>
      <w:bookmarkEnd w:id="0"/>
      <w:r w:rsidR="00F74259">
        <w:t xml:space="preserve">quán triệt cán bộ, công chức, viên chức, người lao động và đoàn viên, thanh niên tại địa phương, đơn vị </w:t>
      </w:r>
      <w:r>
        <w:t>n</w:t>
      </w:r>
      <w:r w:rsidR="00F74259">
        <w:t xml:space="preserve">ghiêm </w:t>
      </w:r>
      <w:r>
        <w:t>túc thực hiện.</w:t>
      </w:r>
    </w:p>
    <w:p w:rsidR="00363DAC" w:rsidRPr="00FA2CF3" w:rsidRDefault="00363DAC" w:rsidP="00B373E7">
      <w:pPr>
        <w:spacing w:after="0" w:line="240"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8"/>
      </w:tblGrid>
      <w:tr w:rsidR="00363DAC" w:rsidTr="00363DAC">
        <w:tc>
          <w:tcPr>
            <w:tcW w:w="3510" w:type="dxa"/>
          </w:tcPr>
          <w:p w:rsidR="00363DAC" w:rsidRPr="00FA2CF3" w:rsidRDefault="00363DAC" w:rsidP="00B373E7">
            <w:pPr>
              <w:jc w:val="both"/>
            </w:pPr>
          </w:p>
          <w:p w:rsidR="00363DAC" w:rsidRPr="00FA2CF3" w:rsidRDefault="00363DAC" w:rsidP="00B373E7">
            <w:pPr>
              <w:jc w:val="both"/>
              <w:rPr>
                <w:b/>
                <w:sz w:val="26"/>
              </w:rPr>
            </w:pPr>
            <w:r w:rsidRPr="00FA2CF3">
              <w:rPr>
                <w:b/>
                <w:sz w:val="26"/>
              </w:rPr>
              <w:t>Nơi nhận:</w:t>
            </w:r>
          </w:p>
          <w:p w:rsidR="00363DAC" w:rsidRPr="00FA2CF3" w:rsidRDefault="00363DAC" w:rsidP="00B373E7">
            <w:pPr>
              <w:jc w:val="both"/>
              <w:rPr>
                <w:sz w:val="24"/>
              </w:rPr>
            </w:pPr>
            <w:r w:rsidRPr="00FA2CF3">
              <w:rPr>
                <w:sz w:val="24"/>
              </w:rPr>
              <w:t xml:space="preserve">- Thường trực, các Ban, VP, </w:t>
            </w:r>
          </w:p>
          <w:p w:rsidR="00363DAC" w:rsidRPr="00FA2CF3" w:rsidRDefault="00363DAC" w:rsidP="00B373E7">
            <w:pPr>
              <w:jc w:val="both"/>
              <w:rPr>
                <w:sz w:val="24"/>
              </w:rPr>
            </w:pPr>
            <w:r w:rsidRPr="00FA2CF3">
              <w:rPr>
                <w:sz w:val="24"/>
              </w:rPr>
              <w:t>các đơn vị cấp II Tỉnh đoàn;</w:t>
            </w:r>
          </w:p>
          <w:p w:rsidR="00363DAC" w:rsidRPr="00FA2CF3" w:rsidRDefault="00D82CBA" w:rsidP="00B373E7">
            <w:pPr>
              <w:jc w:val="both"/>
              <w:rPr>
                <w:sz w:val="24"/>
              </w:rPr>
            </w:pPr>
            <w:r w:rsidRPr="00FA2CF3">
              <w:rPr>
                <w:sz w:val="24"/>
              </w:rPr>
              <w:t xml:space="preserve">- </w:t>
            </w:r>
            <w:r w:rsidR="00363DAC" w:rsidRPr="00FA2CF3">
              <w:rPr>
                <w:sz w:val="24"/>
              </w:rPr>
              <w:t>Các huyện, thị, thành Đoàn, Đoàn trực thuộc;</w:t>
            </w:r>
          </w:p>
          <w:p w:rsidR="00363DAC" w:rsidRDefault="00363DAC" w:rsidP="00B373E7">
            <w:pPr>
              <w:jc w:val="both"/>
              <w:rPr>
                <w:lang w:val="en-US"/>
              </w:rPr>
            </w:pPr>
            <w:r w:rsidRPr="00363DAC">
              <w:rPr>
                <w:sz w:val="24"/>
                <w:lang w:val="en-US"/>
              </w:rPr>
              <w:t>- Lưu.</w:t>
            </w:r>
          </w:p>
        </w:tc>
        <w:tc>
          <w:tcPr>
            <w:tcW w:w="5778" w:type="dxa"/>
          </w:tcPr>
          <w:p w:rsidR="00363DAC" w:rsidRPr="00363DAC" w:rsidRDefault="00363DAC" w:rsidP="00363DAC">
            <w:pPr>
              <w:jc w:val="center"/>
              <w:rPr>
                <w:b/>
                <w:lang w:val="en-US"/>
              </w:rPr>
            </w:pPr>
            <w:r w:rsidRPr="00363DAC">
              <w:rPr>
                <w:b/>
                <w:lang w:val="en-US"/>
              </w:rPr>
              <w:t>TM. BAN THƯỜNG VỤ TỈNH ĐOÀN</w:t>
            </w:r>
          </w:p>
          <w:p w:rsidR="00363DAC" w:rsidRDefault="00363DAC" w:rsidP="00363DAC">
            <w:pPr>
              <w:jc w:val="center"/>
              <w:rPr>
                <w:lang w:val="en-US"/>
              </w:rPr>
            </w:pPr>
            <w:r>
              <w:rPr>
                <w:lang w:val="en-US"/>
              </w:rPr>
              <w:t>PHÓ BÍ THƯ</w:t>
            </w:r>
          </w:p>
          <w:p w:rsidR="00363DAC" w:rsidRDefault="00363DAC" w:rsidP="00363DAC">
            <w:pPr>
              <w:jc w:val="center"/>
              <w:rPr>
                <w:lang w:val="en-US"/>
              </w:rPr>
            </w:pPr>
          </w:p>
          <w:p w:rsidR="00363DAC" w:rsidRDefault="00363DAC" w:rsidP="00363DAC">
            <w:pPr>
              <w:jc w:val="center"/>
              <w:rPr>
                <w:lang w:val="en-US"/>
              </w:rPr>
            </w:pPr>
          </w:p>
          <w:p w:rsidR="00363DAC" w:rsidRDefault="00363DAC" w:rsidP="00363DAC">
            <w:pPr>
              <w:jc w:val="center"/>
              <w:rPr>
                <w:lang w:val="en-US"/>
              </w:rPr>
            </w:pPr>
          </w:p>
          <w:p w:rsidR="00363DAC" w:rsidRPr="00363DAC" w:rsidRDefault="00363DAC" w:rsidP="00363DAC">
            <w:pPr>
              <w:jc w:val="center"/>
              <w:rPr>
                <w:sz w:val="14"/>
                <w:lang w:val="en-US"/>
              </w:rPr>
            </w:pPr>
          </w:p>
          <w:p w:rsidR="00363DAC" w:rsidRDefault="00363DAC" w:rsidP="00363DAC">
            <w:pPr>
              <w:jc w:val="center"/>
              <w:rPr>
                <w:lang w:val="en-US"/>
              </w:rPr>
            </w:pPr>
          </w:p>
          <w:p w:rsidR="00363DAC" w:rsidRDefault="00363DAC" w:rsidP="00363DAC">
            <w:pPr>
              <w:jc w:val="center"/>
              <w:rPr>
                <w:lang w:val="en-US"/>
              </w:rPr>
            </w:pPr>
          </w:p>
          <w:p w:rsidR="00363DAC" w:rsidRPr="00363DAC" w:rsidRDefault="00363DAC" w:rsidP="00363DAC">
            <w:pPr>
              <w:jc w:val="center"/>
              <w:rPr>
                <w:b/>
                <w:lang w:val="en-US"/>
              </w:rPr>
            </w:pPr>
            <w:r w:rsidRPr="00363DAC">
              <w:rPr>
                <w:b/>
                <w:lang w:val="en-US"/>
              </w:rPr>
              <w:t>Phan Kỳ</w:t>
            </w:r>
          </w:p>
        </w:tc>
      </w:tr>
    </w:tbl>
    <w:p w:rsidR="00363DAC" w:rsidRPr="00363DAC" w:rsidRDefault="00363DAC" w:rsidP="00B373E7">
      <w:pPr>
        <w:spacing w:after="0" w:line="240" w:lineRule="auto"/>
        <w:ind w:firstLine="567"/>
        <w:jc w:val="both"/>
        <w:rPr>
          <w:lang w:val="en-US"/>
        </w:rPr>
      </w:pPr>
    </w:p>
    <w:sectPr w:rsidR="00363DAC" w:rsidRPr="00363DAC" w:rsidSect="00C65AAA">
      <w:pgSz w:w="11907" w:h="16840" w:code="9"/>
      <w:pgMar w:top="1134" w:right="1134"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displayVerticalDrawingGridEvery w:val="2"/>
  <w:characterSpacingControl w:val="doNotCompress"/>
  <w:compat>
    <w:compatSetting w:name="compatibilityMode" w:uri="http://schemas.microsoft.com/office/word" w:val="12"/>
  </w:compat>
  <w:rsids>
    <w:rsidRoot w:val="004A7660"/>
    <w:rsid w:val="001B22F9"/>
    <w:rsid w:val="001F4C21"/>
    <w:rsid w:val="002054C9"/>
    <w:rsid w:val="0023675F"/>
    <w:rsid w:val="002B08FE"/>
    <w:rsid w:val="002D3A4A"/>
    <w:rsid w:val="00363DAC"/>
    <w:rsid w:val="004A7660"/>
    <w:rsid w:val="004D1138"/>
    <w:rsid w:val="005C0DA0"/>
    <w:rsid w:val="006705F2"/>
    <w:rsid w:val="00832F0B"/>
    <w:rsid w:val="008A29BA"/>
    <w:rsid w:val="008A5A41"/>
    <w:rsid w:val="009A36D0"/>
    <w:rsid w:val="00A439B7"/>
    <w:rsid w:val="00B373E7"/>
    <w:rsid w:val="00B932D5"/>
    <w:rsid w:val="00C65AAA"/>
    <w:rsid w:val="00D4372C"/>
    <w:rsid w:val="00D82CBA"/>
    <w:rsid w:val="00F0777B"/>
    <w:rsid w:val="00F433B4"/>
    <w:rsid w:val="00F74259"/>
    <w:rsid w:val="00FA2CF3"/>
    <w:rsid w:val="00FF05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7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11</cp:revision>
  <cp:lastPrinted>2019-05-13T01:41:00Z</cp:lastPrinted>
  <dcterms:created xsi:type="dcterms:W3CDTF">2019-05-10T10:16:00Z</dcterms:created>
  <dcterms:modified xsi:type="dcterms:W3CDTF">2019-05-13T01:41:00Z</dcterms:modified>
</cp:coreProperties>
</file>